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46" w:rsidRDefault="00E57D46" w:rsidP="00D04EB9">
      <w:pPr>
        <w:ind w:left="-1134"/>
      </w:pPr>
      <w:r w:rsidRPr="00E57D46">
        <w:rPr>
          <w:noProof/>
          <w:lang w:eastAsia="ru-RU"/>
        </w:rPr>
        <w:drawing>
          <wp:inline distT="0" distB="0" distL="0" distR="0">
            <wp:extent cx="7019925" cy="3190875"/>
            <wp:effectExtent l="0" t="0" r="0" b="0"/>
            <wp:docPr id="1" name="Рисунок 1" descr="C:\Users\Jurist\Desktop\ice_screenshot_20190408-095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ist\Desktop\ice_screenshot_20190408-09553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464" cy="32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46" w:rsidRPr="00E57D46" w:rsidRDefault="00E57D46" w:rsidP="00E57D46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</w:pPr>
      <w:hyperlink r:id="rId5" w:history="1">
        <w:proofErr w:type="spellStart"/>
        <w:r w:rsidRPr="00E57D46">
          <w:rPr>
            <w:rFonts w:ascii="Arial" w:eastAsia="Times New Roman" w:hAnsi="Arial" w:cs="Arial"/>
            <w:color w:val="0000FF"/>
            <w:spacing w:val="5"/>
            <w:sz w:val="28"/>
            <w:szCs w:val="28"/>
            <w:u w:val="single"/>
            <w:lang w:val="en-US" w:eastAsia="ru-RU"/>
          </w:rPr>
          <w:t>Acasă</w:t>
        </w:r>
        <w:proofErr w:type="spellEnd"/>
        <w:r w:rsidRPr="00E57D46">
          <w:rPr>
            <w:rFonts w:ascii="Arial" w:eastAsia="Times New Roman" w:hAnsi="Arial" w:cs="Arial"/>
            <w:color w:val="0000FF"/>
            <w:spacing w:val="5"/>
            <w:sz w:val="28"/>
            <w:szCs w:val="28"/>
            <w:u w:val="single"/>
            <w:lang w:val="en-US" w:eastAsia="ru-RU"/>
          </w:rPr>
          <w:t xml:space="preserve"> </w:t>
        </w:r>
      </w:hyperlink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val="en-US" w:eastAsia="ru-RU"/>
        </w:rPr>
        <w:t>/ </w:t>
      </w:r>
      <w:proofErr w:type="spellStart"/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eastAsia="ru-RU"/>
        </w:rPr>
        <w:fldChar w:fldCharType="begin"/>
      </w:r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val="en-US" w:eastAsia="ru-RU"/>
        </w:rPr>
        <w:instrText xml:space="preserve"> HYPERLINK "http://www.ccrm.md/hotariri-si-rapoarte-1-95?idh=967" </w:instrText>
      </w:r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eastAsia="ru-RU"/>
        </w:rPr>
        <w:fldChar w:fldCharType="separate"/>
      </w:r>
      <w:r w:rsidRPr="00E57D46">
        <w:rPr>
          <w:rFonts w:ascii="Arial" w:eastAsia="Times New Roman" w:hAnsi="Arial" w:cs="Arial"/>
          <w:color w:val="0000FF"/>
          <w:spacing w:val="5"/>
          <w:sz w:val="28"/>
          <w:szCs w:val="28"/>
          <w:u w:val="single"/>
          <w:lang w:val="en-US" w:eastAsia="ru-RU"/>
        </w:rPr>
        <w:t>Publicaţii</w:t>
      </w:r>
      <w:proofErr w:type="spellEnd"/>
      <w:r w:rsidRPr="00E57D46">
        <w:rPr>
          <w:rFonts w:ascii="Arial" w:eastAsia="Times New Roman" w:hAnsi="Arial" w:cs="Arial"/>
          <w:color w:val="0000FF"/>
          <w:spacing w:val="5"/>
          <w:sz w:val="28"/>
          <w:szCs w:val="28"/>
          <w:u w:val="single"/>
          <w:lang w:val="en-US" w:eastAsia="ru-RU"/>
        </w:rPr>
        <w:t xml:space="preserve"> </w:t>
      </w:r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eastAsia="ru-RU"/>
        </w:rPr>
        <w:fldChar w:fldCharType="end"/>
      </w:r>
      <w:r w:rsidRPr="00E57D46">
        <w:rPr>
          <w:rFonts w:ascii="Arial" w:eastAsia="Times New Roman" w:hAnsi="Arial" w:cs="Arial"/>
          <w:color w:val="324B8D"/>
          <w:spacing w:val="5"/>
          <w:sz w:val="28"/>
          <w:szCs w:val="28"/>
          <w:lang w:val="en-US" w:eastAsia="ru-RU"/>
        </w:rPr>
        <w:t>/ </w:t>
      </w:r>
      <w:proofErr w:type="spellStart"/>
      <w:r w:rsidRPr="00E57D46"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  <w:t>Hotărîri</w:t>
      </w:r>
      <w:proofErr w:type="spellEnd"/>
      <w:r w:rsidRPr="00E57D46"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  <w:t>şi</w:t>
      </w:r>
      <w:proofErr w:type="spellEnd"/>
      <w:r w:rsidRPr="00E57D46"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color w:val="3A3A3A"/>
          <w:spacing w:val="5"/>
          <w:sz w:val="28"/>
          <w:szCs w:val="28"/>
          <w:lang w:val="en-US" w:eastAsia="ru-RU"/>
        </w:rPr>
        <w:t>Rapoarte</w:t>
      </w:r>
      <w:proofErr w:type="spellEnd"/>
    </w:p>
    <w:p w:rsidR="00E57D46" w:rsidRPr="00E57D46" w:rsidRDefault="00E57D46" w:rsidP="00E57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4B8D"/>
          <w:spacing w:val="5"/>
          <w:sz w:val="28"/>
          <w:szCs w:val="28"/>
          <w:lang w:val="en-US" w:eastAsia="ru-RU"/>
        </w:rPr>
      </w:pPr>
    </w:p>
    <w:p w:rsidR="00E57D46" w:rsidRPr="00E57D46" w:rsidRDefault="00E57D46" w:rsidP="00E57D46">
      <w:pPr>
        <w:shd w:val="clear" w:color="auto" w:fill="FFFFFF"/>
        <w:spacing w:line="240" w:lineRule="auto"/>
        <w:ind w:left="-142"/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</w:pP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Hotărârea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nr.8 din 27.02.2019 cu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privire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la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Raportul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auditului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rapoartelor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financiare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ale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orașului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Durlești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încheiate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la 31 </w:t>
      </w:r>
      <w:proofErr w:type="spellStart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>decembrie</w:t>
      </w:r>
      <w:proofErr w:type="spellEnd"/>
      <w:r w:rsidRPr="00E57D46">
        <w:rPr>
          <w:rFonts w:ascii="Arial" w:eastAsia="Times New Roman" w:hAnsi="Arial" w:cs="Arial"/>
          <w:b/>
          <w:bCs/>
          <w:color w:val="3A3A3A"/>
          <w:sz w:val="32"/>
          <w:szCs w:val="32"/>
          <w:lang w:val="en-US" w:eastAsia="ru-RU"/>
        </w:rPr>
        <w:t xml:space="preserve"> 2017</w:t>
      </w:r>
    </w:p>
    <w:p w:rsidR="00E57D46" w:rsidRPr="00E57D46" w:rsidRDefault="00E57D46" w:rsidP="00E57D46">
      <w:pPr>
        <w:shd w:val="clear" w:color="auto" w:fill="FFFFFF"/>
        <w:spacing w:line="240" w:lineRule="auto"/>
        <w:ind w:left="-142"/>
        <w:rPr>
          <w:rFonts w:ascii="Arial" w:eastAsia="Times New Roman" w:hAnsi="Arial" w:cs="Arial"/>
          <w:b/>
          <w:color w:val="313030"/>
          <w:sz w:val="32"/>
          <w:szCs w:val="32"/>
          <w:lang w:val="en-US" w:eastAsia="ru-RU"/>
        </w:rPr>
      </w:pPr>
      <w:proofErr w:type="spellStart"/>
      <w:r w:rsidRPr="00E57D46">
        <w:rPr>
          <w:rFonts w:ascii="Arial" w:eastAsia="Times New Roman" w:hAnsi="Arial" w:cs="Arial"/>
          <w:color w:val="313030"/>
          <w:sz w:val="32"/>
          <w:szCs w:val="32"/>
          <w:lang w:val="en-US" w:eastAsia="ru-RU"/>
        </w:rPr>
        <w:t>Numar</w:t>
      </w:r>
      <w:proofErr w:type="spellEnd"/>
      <w:r w:rsidRPr="00E57D46">
        <w:rPr>
          <w:rFonts w:ascii="Arial" w:eastAsia="Times New Roman" w:hAnsi="Arial" w:cs="Arial"/>
          <w:color w:val="313030"/>
          <w:sz w:val="32"/>
          <w:szCs w:val="32"/>
          <w:lang w:val="en-US" w:eastAsia="ru-RU"/>
        </w:rPr>
        <w:t> </w:t>
      </w:r>
      <w:r w:rsidRPr="00D04EB9">
        <w:rPr>
          <w:rFonts w:ascii="Arial" w:eastAsia="Times New Roman" w:hAnsi="Arial" w:cs="Arial"/>
          <w:b/>
          <w:bCs/>
          <w:color w:val="313030"/>
          <w:sz w:val="32"/>
          <w:szCs w:val="32"/>
          <w:lang w:val="en-US" w:eastAsia="ru-RU"/>
        </w:rPr>
        <w:t>100</w:t>
      </w:r>
      <w:r w:rsidRPr="00E57D46">
        <w:rPr>
          <w:rFonts w:ascii="Arial" w:eastAsia="Times New Roman" w:hAnsi="Arial" w:cs="Arial"/>
          <w:color w:val="313030"/>
          <w:sz w:val="32"/>
          <w:szCs w:val="32"/>
          <w:lang w:val="en-US" w:eastAsia="ru-RU"/>
        </w:rPr>
        <w:t> din data de </w:t>
      </w:r>
      <w:r w:rsidRPr="00D04EB9">
        <w:rPr>
          <w:rFonts w:ascii="Arial" w:eastAsia="Times New Roman" w:hAnsi="Arial" w:cs="Arial"/>
          <w:b/>
          <w:bCs/>
          <w:color w:val="313030"/>
          <w:sz w:val="32"/>
          <w:szCs w:val="32"/>
          <w:lang w:val="en-US" w:eastAsia="ru-RU"/>
        </w:rPr>
        <w:t>2019-02-27</w:t>
      </w:r>
      <w:r w:rsidRPr="00E57D46">
        <w:rPr>
          <w:rFonts w:ascii="Arial" w:eastAsia="Times New Roman" w:hAnsi="Arial" w:cs="Arial"/>
          <w:color w:val="313030"/>
          <w:sz w:val="32"/>
          <w:szCs w:val="32"/>
          <w:lang w:val="en-US" w:eastAsia="ru-RU"/>
        </w:rPr>
        <w:t> </w:t>
      </w:r>
      <w:proofErr w:type="spellStart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Nr</w:t>
      </w:r>
      <w:proofErr w:type="spellEnd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 xml:space="preserve">. </w:t>
      </w:r>
      <w:proofErr w:type="spellStart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cerinte</w:t>
      </w:r>
      <w:proofErr w:type="spellEnd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:</w:t>
      </w:r>
      <w:r w:rsidRPr="00E57D46">
        <w:rPr>
          <w:rFonts w:ascii="Arial" w:eastAsia="Times New Roman" w:hAnsi="Arial" w:cs="Arial"/>
          <w:b/>
          <w:color w:val="313030"/>
          <w:sz w:val="32"/>
          <w:szCs w:val="32"/>
          <w:lang w:val="en-US" w:eastAsia="ru-RU"/>
        </w:rPr>
        <w:t> </w:t>
      </w:r>
      <w:proofErr w:type="gramStart"/>
      <w:r w:rsidRPr="00E57D46">
        <w:rPr>
          <w:rFonts w:ascii="Arial" w:eastAsia="Times New Roman" w:hAnsi="Arial" w:cs="Arial"/>
          <w:b/>
          <w:color w:val="313030"/>
          <w:sz w:val="32"/>
          <w:szCs w:val="32"/>
          <w:lang w:val="en-US" w:eastAsia="ru-RU"/>
        </w:rPr>
        <w:t>0</w:t>
      </w:r>
      <w:proofErr w:type="gramEnd"/>
      <w:r w:rsidRPr="00E57D46">
        <w:rPr>
          <w:rFonts w:ascii="Arial" w:eastAsia="Times New Roman" w:hAnsi="Arial" w:cs="Arial"/>
          <w:b/>
          <w:color w:val="313030"/>
          <w:sz w:val="32"/>
          <w:szCs w:val="32"/>
          <w:lang w:val="en-US" w:eastAsia="ru-RU"/>
        </w:rPr>
        <w:t> </w:t>
      </w:r>
      <w:proofErr w:type="spellStart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Nr</w:t>
      </w:r>
      <w:proofErr w:type="spellEnd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 xml:space="preserve">. </w:t>
      </w:r>
      <w:proofErr w:type="spellStart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recomandari</w:t>
      </w:r>
      <w:proofErr w:type="spellEnd"/>
      <w:r w:rsidRPr="004A7807">
        <w:rPr>
          <w:rFonts w:ascii="Arial" w:eastAsia="Times New Roman" w:hAnsi="Arial" w:cs="Arial"/>
          <w:b/>
          <w:color w:val="243469"/>
          <w:sz w:val="32"/>
          <w:szCs w:val="32"/>
          <w:lang w:val="en-US" w:eastAsia="ru-RU"/>
        </w:rPr>
        <w:t>:</w:t>
      </w:r>
      <w:r w:rsidRPr="00E57D46">
        <w:rPr>
          <w:rFonts w:ascii="Arial" w:eastAsia="Times New Roman" w:hAnsi="Arial" w:cs="Arial"/>
          <w:b/>
          <w:color w:val="313030"/>
          <w:sz w:val="32"/>
          <w:szCs w:val="32"/>
          <w:lang w:val="en-US" w:eastAsia="ru-RU"/>
        </w:rPr>
        <w:t> 0</w:t>
      </w:r>
      <w:bookmarkStart w:id="0" w:name="_GoBack"/>
      <w:bookmarkEnd w:id="0"/>
    </w:p>
    <w:p w:rsidR="00E57D46" w:rsidRPr="00E57D46" w:rsidRDefault="00E57D46" w:rsidP="00E57D46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</w:pP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Misiunea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audit a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fost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realizată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conform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Programelor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activității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audit a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Curții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Conturi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anii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2018</w:t>
      </w:r>
      <w:hyperlink r:id="rId6" w:anchor="footnote0" w:history="1">
        <w:proofErr w:type="gramStart"/>
        <w:r w:rsidRPr="00D04EB9">
          <w:rPr>
            <w:rFonts w:ascii="Calibri Light" w:eastAsia="Times New Roman" w:hAnsi="Calibri Light" w:cs="Arial"/>
            <w:color w:val="337AB7"/>
            <w:sz w:val="32"/>
            <w:szCs w:val="32"/>
            <w:u w:val="single"/>
            <w:vertAlign w:val="superscript"/>
            <w:lang w:val="en-US" w:eastAsia="ru-RU"/>
          </w:rPr>
          <w:t>1</w:t>
        </w:r>
        <w:proofErr w:type="gramEnd"/>
      </w:hyperlink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și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respectiv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, 2019</w:t>
      </w:r>
      <w:hyperlink r:id="rId7" w:anchor="footnote1" w:history="1">
        <w:r w:rsidRPr="00D04EB9">
          <w:rPr>
            <w:rFonts w:ascii="Calibri Light" w:eastAsia="Times New Roman" w:hAnsi="Calibri Light" w:cs="Arial"/>
            <w:color w:val="337AB7"/>
            <w:sz w:val="32"/>
            <w:szCs w:val="32"/>
            <w:u w:val="single"/>
            <w:vertAlign w:val="superscript"/>
            <w:lang w:val="en-US" w:eastAsia="ru-RU"/>
          </w:rPr>
          <w:t>2</w:t>
        </w:r>
      </w:hyperlink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,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având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drept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scop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oferirea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asigurării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rezonabile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precum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că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situațiile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financiare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ale or.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Durlești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sunt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întocmite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și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prezentate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, la 31.12.2017,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în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conformitate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cu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cadrul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raportare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financiară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aplicabil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prezintă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o imagine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fidelă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și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veridică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 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și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nu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conțin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denaturări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semnificative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,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cauzate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de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fraude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sau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erori</w:t>
      </w:r>
      <w:proofErr w:type="spellEnd"/>
      <w:r w:rsidRPr="00E57D46">
        <w:rPr>
          <w:rFonts w:ascii="Calibri Light" w:eastAsia="Times New Roman" w:hAnsi="Calibri Light" w:cs="Arial"/>
          <w:b/>
          <w:color w:val="000000"/>
          <w:sz w:val="32"/>
          <w:szCs w:val="32"/>
          <w:lang w:val="en-US" w:eastAsia="ru-RU"/>
        </w:rPr>
        <w:t>.</w:t>
      </w:r>
    </w:p>
    <w:p w:rsidR="00E57D46" w:rsidRPr="00E57D46" w:rsidRDefault="00E57D46" w:rsidP="00E57D46">
      <w:pPr>
        <w:shd w:val="clear" w:color="auto" w:fill="FFFFFF"/>
        <w:spacing w:line="240" w:lineRule="auto"/>
        <w:ind w:left="-142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       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Auditul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public extern s-a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desfășurat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în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conformitate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cu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Standardele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Internaționale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Audit ale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Instituțiilor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Supreme de Audit: ISSAI 100 „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Principii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fundamentale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ale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auditului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sectorului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public”, ISSAI 200 „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Principii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fundamentale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ale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auditului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financiar”</w:t>
      </w:r>
      <w:hyperlink r:id="rId8" w:anchor="footnote2" w:history="1">
        <w:r w:rsidRPr="00D04EB9">
          <w:rPr>
            <w:rFonts w:ascii="Calibri Light" w:eastAsia="Times New Roman" w:hAnsi="Calibri Light" w:cs="Arial"/>
            <w:color w:val="337AB7"/>
            <w:sz w:val="32"/>
            <w:szCs w:val="32"/>
            <w:u w:val="single"/>
            <w:vertAlign w:val="superscript"/>
            <w:lang w:val="en-US" w:eastAsia="ru-RU"/>
          </w:rPr>
          <w:t>3</w:t>
        </w:r>
      </w:hyperlink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și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cu 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Liniile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Directoare</w:t>
      </w:r>
      <w:proofErr w:type="spellEnd"/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 xml:space="preserve"> de Audit</w:t>
      </w:r>
      <w:hyperlink r:id="rId9" w:anchor="footnote3" w:history="1">
        <w:r w:rsidRPr="00D04EB9">
          <w:rPr>
            <w:rFonts w:ascii="Calibri Light" w:eastAsia="Times New Roman" w:hAnsi="Calibri Light" w:cs="Arial"/>
            <w:color w:val="337AB7"/>
            <w:sz w:val="32"/>
            <w:szCs w:val="32"/>
            <w:u w:val="single"/>
            <w:vertAlign w:val="superscript"/>
            <w:lang w:val="en-US" w:eastAsia="ru-RU"/>
          </w:rPr>
          <w:t>4</w:t>
        </w:r>
      </w:hyperlink>
      <w:r w:rsidRPr="00E57D46">
        <w:rPr>
          <w:rFonts w:ascii="Calibri Light" w:eastAsia="Times New Roman" w:hAnsi="Calibri Light" w:cs="Arial"/>
          <w:color w:val="000000"/>
          <w:sz w:val="32"/>
          <w:szCs w:val="32"/>
          <w:lang w:val="en-US" w:eastAsia="ru-RU"/>
        </w:rPr>
        <w:t>.</w:t>
      </w:r>
    </w:p>
    <w:p w:rsidR="00BF6870" w:rsidRPr="00E57D46" w:rsidRDefault="00BF6870" w:rsidP="00E57D46">
      <w:pPr>
        <w:ind w:firstLine="708"/>
        <w:rPr>
          <w:lang w:val="en-US"/>
        </w:rPr>
      </w:pPr>
    </w:p>
    <w:sectPr w:rsidR="00BF6870" w:rsidRPr="00E5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6"/>
    <w:rsid w:val="004A7807"/>
    <w:rsid w:val="00BF6870"/>
    <w:rsid w:val="00D04EB9"/>
    <w:rsid w:val="00E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A96"/>
  <w15:chartTrackingRefBased/>
  <w15:docId w15:val="{0791BEA5-597A-4BE1-B812-9E88141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D46"/>
    <w:rPr>
      <w:color w:val="0000FF"/>
      <w:u w:val="single"/>
    </w:rPr>
  </w:style>
  <w:style w:type="character" w:customStyle="1" w:styleId="separator">
    <w:name w:val="separator"/>
    <w:basedOn w:val="a0"/>
    <w:rsid w:val="00E57D46"/>
  </w:style>
  <w:style w:type="character" w:customStyle="1" w:styleId="breadcrumbs--current--link">
    <w:name w:val="breadcrumbs--current--link"/>
    <w:basedOn w:val="a0"/>
    <w:rsid w:val="00E57D46"/>
  </w:style>
  <w:style w:type="paragraph" w:styleId="a4">
    <w:name w:val="Normal (Web)"/>
    <w:basedOn w:val="a"/>
    <w:uiPriority w:val="99"/>
    <w:semiHidden/>
    <w:unhideWhenUsed/>
    <w:rsid w:val="00E5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7D46"/>
    <w:rPr>
      <w:b/>
      <w:bCs/>
    </w:rPr>
  </w:style>
  <w:style w:type="character" w:customStyle="1" w:styleId="stats-different">
    <w:name w:val="stats-different"/>
    <w:basedOn w:val="a0"/>
    <w:rsid w:val="00E5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98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m.md/hotariri-si-rapoarte-1-95?idh=9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rm.md/hotariri-si-rapoarte-1-95?idh=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rm.md/hotariri-si-rapoarte-1-95?idh=9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rm.m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crm.md/hotariri-si-rapoarte-1-95?idh=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2019-04-08T06:56:00Z</dcterms:created>
  <dcterms:modified xsi:type="dcterms:W3CDTF">2019-04-08T07:41:00Z</dcterms:modified>
</cp:coreProperties>
</file>